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31"/>
        <w:gridCol w:w="7724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ind w:left="5670" w:hanging="1254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З</w:t>
            </w:r>
            <w:r>
              <w:rPr>
                <w:color w:val="000000"/>
              </w:rPr>
              <w:t xml:space="preserve">аместител</w:t>
            </w:r>
            <w:r>
              <w:rPr>
                <w:color w:val="000000"/>
              </w:rPr>
              <w:t xml:space="preserve">ь</w:t>
            </w:r>
            <w:r>
              <w:rPr>
                <w:color w:val="000000"/>
              </w:rPr>
              <w:t xml:space="preserve"> директора –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главн</w:t>
            </w:r>
            <w:r>
              <w:rPr>
                <w:color w:val="000000"/>
              </w:rPr>
              <w:t xml:space="preserve">ый</w:t>
            </w:r>
            <w:r>
              <w:rPr>
                <w:color w:val="000000"/>
              </w:rPr>
              <w:t xml:space="preserve"> инженер филиала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ПАО «</w:t>
            </w:r>
            <w:r>
              <w:rPr>
                <w:color w:val="000000"/>
              </w:rPr>
              <w:t xml:space="preserve">Россети</w:t>
            </w:r>
            <w:r>
              <w:rPr>
                <w:color w:val="000000"/>
              </w:rPr>
              <w:t xml:space="preserve"> Урал» 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Свердловэнерго</w:t>
            </w:r>
            <w:r>
              <w:rPr>
                <w:color w:val="000000"/>
              </w:rPr>
              <w:t xml:space="preserve">»_</w:t>
            </w:r>
            <w:r>
              <w:rPr>
                <w:color w:val="000000"/>
              </w:rPr>
              <w:t xml:space="preserve">_____</w:t>
            </w:r>
            <w:r>
              <w:rPr>
                <w:color w:val="000000"/>
              </w:rPr>
              <w:t xml:space="preserve">___</w:t>
            </w:r>
            <w:r>
              <w:rPr>
                <w:color w:val="000000"/>
              </w:rPr>
              <w:t xml:space="preserve">_ </w:t>
            </w:r>
            <w:r>
              <w:rPr>
                <w:color w:val="000000"/>
              </w:rPr>
              <w:t xml:space="preserve">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__________Е</w:t>
            </w:r>
            <w:r>
              <w:rPr>
                <w:color w:val="000000"/>
              </w:rPr>
              <w:t xml:space="preserve">.</w:t>
            </w:r>
            <w:r>
              <w:rPr>
                <w:color w:val="000000"/>
              </w:rPr>
              <w:t xml:space="preserve"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Мальцев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                                                                       </w:t>
            </w:r>
            <w:r>
              <w:rPr>
                <w:color w:val="000000"/>
              </w:rPr>
              <w:t xml:space="preserve">« _</w:t>
            </w:r>
            <w:r>
              <w:rPr>
                <w:color w:val="000000"/>
              </w:rPr>
              <w:t xml:space="preserve">_ 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____________ 20</w:t>
            </w: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  <w:t xml:space="preserve"> г.</w:t>
            </w:r>
            <w:r/>
          </w:p>
          <w:p>
            <w:pPr>
              <w:jc w:val="right"/>
            </w:pPr>
            <w:r/>
            <w:r/>
          </w:p>
        </w:tc>
      </w:tr>
    </w:tbl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93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</w:t>
      </w:r>
      <w:r>
        <w:rPr>
          <w:i w:val="0"/>
          <w:sz w:val="28"/>
          <w:szCs w:val="28"/>
        </w:rPr>
        <w:t xml:space="preserve">ЕХНИЧЕСКОЕ 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43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организации и проведения </w:t>
      </w:r>
      <w:r>
        <w:rPr>
          <w:b/>
          <w:sz w:val="28"/>
          <w:szCs w:val="28"/>
        </w:rPr>
        <w:t xml:space="preserve">сравнения цен в электронной форме</w:t>
      </w:r>
      <w:r>
        <w:rPr>
          <w:b/>
          <w:sz w:val="28"/>
          <w:szCs w:val="28"/>
        </w:rPr>
        <w:t xml:space="preserve">, участниками которого могут быть только субъекты МСП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право заключения договора </w:t>
      </w:r>
      <w:r>
        <w:rPr>
          <w:b/>
          <w:sz w:val="28"/>
          <w:szCs w:val="28"/>
        </w:rPr>
        <w:t xml:space="preserve">оказания</w:t>
      </w:r>
      <w:r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утилизации отработанной компьютерной техники для</w:t>
      </w:r>
      <w:r>
        <w:rPr>
          <w:b/>
          <w:sz w:val="28"/>
          <w:szCs w:val="28"/>
        </w:rPr>
        <w:t xml:space="preserve">                         ПО </w:t>
      </w:r>
      <w:r>
        <w:rPr>
          <w:b/>
          <w:sz w:val="28"/>
          <w:szCs w:val="28"/>
        </w:rPr>
        <w:t xml:space="preserve">Нижнетагильские</w:t>
      </w:r>
      <w:r>
        <w:rPr>
          <w:b/>
          <w:sz w:val="28"/>
          <w:szCs w:val="28"/>
        </w:rPr>
        <w:t xml:space="preserve"> ЭС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3"/>
      </w:pPr>
      <w:r/>
      <w:r/>
    </w:p>
    <w:p>
      <w:pPr>
        <w:pStyle w:val="943"/>
      </w:pPr>
      <w:r/>
      <w:r/>
    </w:p>
    <w:p>
      <w:pPr>
        <w:pStyle w:val="943"/>
      </w:pPr>
      <w:r/>
      <w:r/>
    </w:p>
    <w:p>
      <w:pPr>
        <w:pStyle w:val="943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Екатеринбург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930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</w:rPr>
        <w:t xml:space="preserve">сравнения цен</w:t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t xml:space="preserve">Право заключения до</w:t>
      </w:r>
      <w:r>
        <w:t xml:space="preserve">говора </w:t>
      </w:r>
      <w:r>
        <w:t xml:space="preserve">на </w:t>
      </w:r>
      <w:r>
        <w:t xml:space="preserve">Оказание услуг по </w:t>
      </w:r>
      <w:r>
        <w:t xml:space="preserve">утилизации </w:t>
      </w:r>
      <w:r>
        <w:t xml:space="preserve">отработанной компьютерной техники для</w:t>
      </w:r>
      <w:r>
        <w:t xml:space="preserve">  ПО </w:t>
      </w:r>
      <w:r>
        <w:t xml:space="preserve">Нижнетагильские</w:t>
      </w:r>
      <w:r>
        <w:t xml:space="preserve"> ЭС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</w:pPr>
      <w:r>
        <w:t xml:space="preserve">План закупок на 2026</w:t>
      </w:r>
      <w:r>
        <w:t xml:space="preserve"> г</w:t>
      </w:r>
      <w:r>
        <w:t xml:space="preserve">. </w:t>
      </w:r>
      <w:r>
        <w:t xml:space="preserve">Лот </w:t>
      </w:r>
      <w:r>
        <w:t xml:space="preserve">58078</w:t>
      </w:r>
      <w:r>
        <w:t xml:space="preserve">, закупка </w:t>
      </w:r>
      <w:r>
        <w:t xml:space="preserve">58078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</w:t>
      </w:r>
      <w:r>
        <w:rPr>
          <w:b/>
        </w:rPr>
        <w:t xml:space="preserve">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 (филиал «</w:t>
      </w:r>
      <w:r>
        <w:t xml:space="preserve">Свердловэнерго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  <w:t xml:space="preserve"> 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92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71"/>
        <w:gridCol w:w="4832"/>
        <w:gridCol w:w="3696"/>
      </w:tblGrid>
      <w:tr>
        <w:tblPrEx/>
        <w:trPr/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>
              <w:t xml:space="preserve">Наименование подразделени</w:t>
            </w:r>
            <w:r>
              <w:t xml:space="preserve">я</w:t>
            </w:r>
            <w:r>
              <w:t xml:space="preserve"> </w:t>
            </w:r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Адреса </w:t>
            </w:r>
            <w:r>
              <w:t xml:space="preserve">промплощадок</w:t>
            </w:r>
            <w:r/>
          </w:p>
        </w:tc>
      </w:tr>
      <w:tr>
        <w:tblPrEx/>
        <w:trPr/>
        <w:tc>
          <w:tcPr>
            <w:gridSpan w:val="3"/>
            <w:tcW w:w="0" w:type="auto"/>
            <w:vAlign w:val="center"/>
            <w:textDirection w:val="lrTb"/>
            <w:noWrap w:val="false"/>
          </w:tcPr>
          <w:p>
            <w:pPr>
              <w:pStyle w:val="986"/>
              <w:numPr>
                <w:ilvl w:val="0"/>
                <w:numId w:val="0"/>
              </w:numPr>
              <w:jc w:val="center"/>
              <w:spacing w:before="0" w:beforeAutospacing="0" w:after="0" w:afterAutospacing="0"/>
              <w:rPr>
                <w:sz w:val="24"/>
              </w:rPr>
            </w:pPr>
            <w:r>
              <w:rPr>
                <w:b/>
                <w:sz w:val="24"/>
              </w:rPr>
              <w:t xml:space="preserve">ПО </w:t>
            </w:r>
            <w:r>
              <w:rPr>
                <w:b/>
                <w:sz w:val="24"/>
              </w:rPr>
              <w:t xml:space="preserve">Нижнетагильские</w:t>
            </w:r>
            <w:r>
              <w:rPr>
                <w:b/>
                <w:sz w:val="24"/>
              </w:rPr>
              <w:t xml:space="preserve"> электрические сети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10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pStyle w:val="984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Нижнетагильские электрические сети </w:t>
            </w:r>
            <w:r>
              <w:rPr>
                <w:color w:val="000000"/>
              </w:rPr>
              <w:t xml:space="preserve">(</w:t>
            </w:r>
            <w:r>
              <w:rPr>
                <w:color w:val="000000"/>
              </w:rPr>
              <w:t xml:space="preserve">Рембаза</w:t>
            </w:r>
            <w:r>
              <w:rPr>
                <w:color w:val="000000"/>
              </w:rPr>
              <w:t xml:space="preserve">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pStyle w:val="986"/>
              <w:numPr>
                <w:ilvl w:val="0"/>
                <w:numId w:val="0"/>
              </w:numPr>
              <w:spacing w:before="0" w:beforeAutospacing="0" w:after="0" w:afterAutospacing="0"/>
              <w:rPr>
                <w:sz w:val="24"/>
              </w:rPr>
            </w:pPr>
            <w:r>
              <w:rPr>
                <w:sz w:val="24"/>
              </w:rPr>
              <w:t xml:space="preserve"> г. Нижний Тагил, пос. Подстанция, 53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Начало </w:t>
      </w:r>
      <w:r>
        <w:t xml:space="preserve">– </w:t>
      </w:r>
      <w:r>
        <w:t xml:space="preserve">с момента заключения договора</w:t>
      </w:r>
      <w:r>
        <w:t xml:space="preserve">;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Окончание - </w:t>
      </w:r>
      <w:r>
        <w:t xml:space="preserve">30.12.202</w:t>
      </w:r>
      <w:r>
        <w:t xml:space="preserve">6</w:t>
      </w:r>
      <w:r>
        <w:t xml:space="preserve">.</w:t>
      </w:r>
      <w:r>
        <w:t xml:space="preserve">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 </w:t>
      </w:r>
      <w:r>
        <w:t xml:space="preserve">себестоимость.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1238"/>
        <w:gridCol w:w="2111"/>
        <w:gridCol w:w="2385"/>
        <w:gridCol w:w="2464"/>
        <w:gridCol w:w="1754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75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58078</w:t>
            </w:r>
            <w:r>
              <w:t xml:space="preserve"> 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1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</w:tabs>
              <w:rPr>
                <w:b/>
              </w:rPr>
            </w:pPr>
            <w:r>
              <w:t xml:space="preserve">Утилизация отработанной компьютерной техники для ПО Нижнетагильские ЭС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/>
            <w:bookmarkStart w:id="0" w:name="_GoBack"/>
            <w:r/>
            <w:bookmarkEnd w:id="0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7 356,00 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t xml:space="preserve">22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eeeeee"/>
              </w:rPr>
              <w:t xml:space="preserve">38.22.29.000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jc w:val="both"/>
        <w:tabs>
          <w:tab w:val="left" w:pos="709" w:leader="none"/>
        </w:tabs>
      </w:pPr>
      <w:r>
        <w:rPr>
          <w:b/>
        </w:rPr>
        <w:t xml:space="preserve">          </w:t>
      </w:r>
      <w:r>
        <w:t xml:space="preserve">  Начальная (максимальная) </w:t>
      </w:r>
      <w:r>
        <w:t xml:space="preserve">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Условия оплаты.</w:t>
      </w:r>
      <w:r>
        <w:rPr>
          <w:b/>
        </w:rPr>
        <w:t xml:space="preserve"> </w:t>
      </w:r>
      <w:r/>
    </w:p>
    <w:p>
      <w:pPr>
        <w:jc w:val="both"/>
        <w:tabs>
          <w:tab w:val="left" w:pos="709" w:leader="none"/>
        </w:tabs>
        <w:rPr>
          <w:iCs/>
        </w:rPr>
      </w:pPr>
      <w:r>
        <w:t xml:space="preserve">           </w:t>
      </w:r>
      <w: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</w:t>
      </w:r>
      <w:r>
        <w:t xml:space="preserve">течение </w:t>
      </w:r>
      <w:r>
        <w:t xml:space="preserve"> </w:t>
      </w:r>
      <w:r>
        <w:t xml:space="preserve">7</w:t>
      </w:r>
      <w:r>
        <w:t xml:space="preserve"> 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 </w:t>
      </w:r>
      <w: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</w:rPr>
        <w:t xml:space="preserve">в соответствии с п.</w:t>
      </w:r>
      <w:r>
        <w:rPr>
          <w:iCs/>
        </w:rPr>
        <w:t xml:space="preserve"> </w:t>
      </w:r>
      <w:r>
        <w:rPr>
          <w:iCs/>
        </w:rPr>
        <w:t xml:space="preserve">2.2.</w:t>
      </w:r>
      <w:r>
        <w:rPr>
          <w:iCs/>
        </w:rPr>
        <w:t xml:space="preserve"> Договора (Приложение №</w:t>
      </w:r>
      <w:r>
        <w:rPr>
          <w:iCs/>
        </w:rPr>
        <w:t xml:space="preserve"> 2</w:t>
      </w:r>
      <w:r>
        <w:rPr>
          <w:iCs/>
        </w:rPr>
        <w:t xml:space="preserve"> к настоящему ТЗ).</w:t>
      </w:r>
      <w:r>
        <w:rPr>
          <w:iCs/>
        </w:rPr>
      </w:r>
      <w:r>
        <w:rPr>
          <w:iCs/>
        </w:rPr>
      </w:r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</w:t>
      </w:r>
      <w:r>
        <w:rPr>
          <w:b/>
        </w:rPr>
        <w:t xml:space="preserve">оказанию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</w:t>
      </w:r>
      <w:r>
        <w:t xml:space="preserve">Д</w:t>
      </w:r>
      <w:r>
        <w:t xml:space="preserve">оговором </w:t>
      </w:r>
      <w:r>
        <w:t xml:space="preserve">оказания услуг</w:t>
      </w:r>
      <w:r>
        <w:t xml:space="preserve"> </w:t>
      </w:r>
      <w:r>
        <w:t xml:space="preserve">(Приложение №</w:t>
      </w:r>
      <w:r>
        <w:t xml:space="preserve"> </w:t>
      </w:r>
      <w:r>
        <w:t xml:space="preserve">2</w:t>
      </w:r>
      <w:r>
        <w:t xml:space="preserve"> к настоящему ТЗ)</w:t>
      </w:r>
      <w:r>
        <w:t xml:space="preserve">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 с соблюдением </w:t>
      </w:r>
      <w:r>
        <w:t xml:space="preserve">требований,</w:t>
      </w:r>
      <w:r>
        <w:t xml:space="preserve"> действующих РД, СП, СНиП, требованиями ПУЭ, действующим </w:t>
      </w:r>
      <w:r>
        <w:t xml:space="preserve">природоохранным </w:t>
      </w:r>
      <w:r>
        <w:t xml:space="preserve">законод</w:t>
      </w:r>
      <w:r>
        <w:t xml:space="preserve">ательством Российской Федерации, в соответствии с Лицензией по </w:t>
      </w:r>
      <w:r>
        <w:rPr>
          <w:color w:val="333333"/>
          <w:shd w:val="clear" w:color="auto" w:fill="ffffff"/>
        </w:rPr>
        <w:t xml:space="preserve">сбору, транспортированию, обработке, утилизации, обезвреживанию, размещению отходов I - IV классов опасности</w:t>
      </w:r>
      <w:r>
        <w:t xml:space="preserve">.</w:t>
      </w:r>
      <w:r/>
    </w:p>
    <w:p>
      <w:pPr>
        <w:pStyle w:val="944"/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rFonts w:eastAsia="MS Mincho"/>
          <w:highlight w:val="none"/>
          <w:lang w:eastAsia="ja-JP"/>
        </w:rPr>
        <w:t xml:space="preserve"> 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п.5.1.4. Договора (Приложение № 2 к настоящему ТЗ)</w:t>
      </w:r>
      <w:r>
        <w:rPr>
          <w:iCs/>
          <w:highlight w:val="none"/>
        </w:rPr>
        <w:t xml:space="preserve">.</w:t>
      </w:r>
      <w:r/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73"/>
        <w:numPr>
          <w:ilvl w:val="1"/>
          <w:numId w:val="2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44"/>
        <w:numPr>
          <w:ilvl w:val="2"/>
          <w:numId w:val="2"/>
        </w:numPr>
        <w:ind w:left="0" w:firstLine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szCs w:val="20"/>
          <w:lang w:eastAsia="ja-JP"/>
        </w:rPr>
        <w:t xml:space="preserve">Техническое предложение участника закупки, в том числе предложение по </w:t>
      </w:r>
      <w:r>
        <w:rPr>
          <w:rFonts w:eastAsia="MS Mincho"/>
          <w:szCs w:val="20"/>
          <w:lang w:eastAsia="ja-JP"/>
        </w:rPr>
        <w:t xml:space="preserve">качеству  оказания</w:t>
      </w:r>
      <w:r>
        <w:rPr>
          <w:rFonts w:eastAsia="MS Mincho"/>
          <w:szCs w:val="20"/>
          <w:lang w:eastAsia="ja-JP"/>
        </w:rPr>
        <w:t xml:space="preserve">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4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Иметь в составе заявки комплект документов, </w:t>
      </w:r>
      <w:r>
        <w:rPr>
          <w:rFonts w:eastAsia="MS Mincho"/>
          <w:lang w:eastAsia="ja-JP"/>
        </w:rPr>
        <w:t xml:space="preserve">перечисленный в п.3</w:t>
      </w:r>
      <w:r>
        <w:rPr>
          <w:rFonts w:eastAsia="MS Mincho"/>
          <w:lang w:eastAsia="ja-JP"/>
        </w:rPr>
        <w:t xml:space="preserve"> </w:t>
      </w:r>
      <w:r>
        <w:t xml:space="preserve">настоящего </w:t>
      </w:r>
      <w:r>
        <w:rPr>
          <w:rFonts w:eastAsia="MS Mincho"/>
          <w:lang w:eastAsia="ja-JP"/>
        </w:rPr>
        <w:t xml:space="preserve">ТЗ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4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SimSun"/>
        </w:rPr>
      </w:pPr>
      <w:r>
        <w:t xml:space="preserve">Участником закупки могут быть только су</w:t>
      </w:r>
      <w: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74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white"/>
          <w14:ligatures w14:val="none"/>
        </w:rPr>
      </w:pPr>
      <w:r>
        <w:rPr>
          <w:rFonts w:eastAsia="SimSun"/>
          <w:highlight w:val="white"/>
          <w:lang w:val="ru-RU"/>
        </w:rPr>
      </w:r>
      <w:r>
        <w:rPr>
          <w:color w:val="000000" w:themeColor="text1"/>
          <w:szCs w:val="24"/>
        </w:rPr>
        <w:t xml:space="preserve">Уч</w:t>
      </w:r>
      <w:r>
        <w:rPr>
          <w:color w:val="000000" w:themeColor="text1"/>
          <w:szCs w:val="24"/>
        </w:rPr>
        <w:t xml:space="preserve">астник закупки должен иметь  действующую лицензию по сбору, транспортированию, обработке, утилизации, обезвреживанию, размещению отходов I - IV классов опасности </w:t>
      </w:r>
      <w:r>
        <w:rPr>
          <w:color w:val="000000" w:themeColor="text1"/>
          <w:szCs w:val="24"/>
        </w:rPr>
        <w:t xml:space="preserve">(</w:t>
      </w:r>
      <w:r>
        <w:rPr>
          <w:color w:val="000000" w:themeColor="text1"/>
          <w:szCs w:val="24"/>
        </w:rPr>
        <w:t xml:space="preserve">согласно</w:t>
      </w:r>
      <w:r>
        <w:rPr>
          <w:color w:val="000000" w:themeColor="text1"/>
          <w:szCs w:val="24"/>
        </w:rPr>
        <w:t xml:space="preserve"> ст.12 </w:t>
      </w:r>
      <w:r>
        <w:rPr>
          <w:color w:val="000000" w:themeColor="text1"/>
          <w:szCs w:val="24"/>
        </w:rPr>
        <w:t xml:space="preserve">Федеральн</w:t>
      </w:r>
      <w:r>
        <w:rPr>
          <w:color w:val="000000" w:themeColor="text1"/>
          <w:szCs w:val="24"/>
        </w:rPr>
        <w:t xml:space="preserve">ого</w:t>
      </w:r>
      <w:r>
        <w:rPr>
          <w:color w:val="000000" w:themeColor="text1"/>
          <w:szCs w:val="24"/>
        </w:rPr>
        <w:t xml:space="preserve"> закон</w:t>
      </w:r>
      <w:r>
        <w:rPr>
          <w:color w:val="000000" w:themeColor="text1"/>
          <w:szCs w:val="24"/>
        </w:rPr>
        <w:t xml:space="preserve">а</w:t>
      </w:r>
      <w:r>
        <w:rPr>
          <w:color w:val="000000" w:themeColor="text1"/>
          <w:szCs w:val="24"/>
        </w:rPr>
        <w:t xml:space="preserve"> от 04.05.2011 N 99-ФЗ (ред. от 25.12.2023) "О лицензировании отдельных видов деятельности"</w:t>
      </w:r>
      <w:r>
        <w:rPr>
          <w:color w:val="000000" w:themeColor="text1"/>
          <w:szCs w:val="24"/>
        </w:rPr>
        <w:t xml:space="preserve">) </w:t>
      </w:r>
      <w:r>
        <w:rPr>
          <w:rFonts w:eastAsia="SimSun"/>
        </w:rPr>
      </w:r>
      <w:r>
        <w:rPr>
          <w:rFonts w:eastAsia="SimSun"/>
        </w:rPr>
        <w:t xml:space="preserve">наличие заключенного </w:t>
      </w:r>
      <w:r>
        <w:rPr>
          <w:rFonts w:eastAsia="SimSun"/>
        </w:rPr>
        <w:t xml:space="preserve">договора с лицензированной организацией</w:t>
      </w:r>
      <w:r>
        <w:rPr>
          <w:rFonts w:eastAsia="SimSun"/>
        </w:rPr>
        <w:t xml:space="preserve"> на  виды отходов согласно приложению 4 к ТЗ.</w:t>
      </w:r>
      <w:r/>
      <w:r>
        <w:rPr>
          <w:color w:val="000000" w:themeColor="text1"/>
          <w:szCs w:val="24"/>
        </w:rPr>
      </w:r>
      <w:r>
        <w:rPr>
          <w:rFonts w:eastAsia="SimSun"/>
          <w:highlight w:val="white"/>
          <w14:ligatures w14:val="none"/>
        </w:rPr>
      </w:r>
      <w:r>
        <w:rPr>
          <w:rFonts w:eastAsia="SimSun"/>
          <w:highlight w:val="white"/>
          <w14:ligatures w14:val="none"/>
        </w:rPr>
      </w:r>
    </w:p>
    <w:p>
      <w:pPr>
        <w:pStyle w:val="97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44"/>
        <w:ind w:left="0"/>
        <w:jc w:val="both"/>
      </w:pPr>
      <w:r>
        <w:t xml:space="preserve">3.1. </w:t>
      </w:r>
      <w:r>
        <w:rPr>
          <w:szCs w:val="20"/>
        </w:rPr>
        <w:t xml:space="preserve">Техническое предложение, заполненное Участником по форме и в соответствии с инструкциями Приложения №</w:t>
      </w:r>
      <w:r>
        <w:rPr>
          <w:szCs w:val="20"/>
        </w:rPr>
        <w:t xml:space="preserve"> </w:t>
      </w:r>
      <w:r>
        <w:rPr>
          <w:szCs w:val="20"/>
        </w:rPr>
        <w:t xml:space="preserve">3</w:t>
      </w:r>
      <w:r>
        <w:rPr>
          <w:szCs w:val="20"/>
        </w:rPr>
        <w:t xml:space="preserve">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/>
    </w:p>
    <w:p>
      <w:pPr>
        <w:pStyle w:val="974"/>
        <w:numPr>
          <w:ilvl w:val="0"/>
          <w:numId w:val="0"/>
        </w:numPr>
        <w:spacing w:before="0" w:after="0"/>
        <w:tabs>
          <w:tab w:val="left" w:pos="567" w:leader="none"/>
          <w:tab w:val="left" w:pos="1701" w:leader="none"/>
        </w:tabs>
        <w:rPr>
          <w:rFonts w:eastAsia="Calibri"/>
          <w:lang w:eastAsia="en-US"/>
        </w:rPr>
      </w:pPr>
      <w:r>
        <w:t xml:space="preserve">3.2. </w:t>
      </w:r>
      <w:r>
        <w:t xml:space="preserve">В составе ценового предложения Участник должен предоставить Приложение №</w:t>
      </w:r>
      <w:r>
        <w:t xml:space="preserve"> 4</w:t>
      </w:r>
      <w:r>
        <w:t xml:space="preserve"> к Техническому заданию – Расчет стоимости работ/услуг,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4"/>
        <w:numPr>
          <w:ilvl w:val="0"/>
          <w:numId w:val="0"/>
        </w:numPr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3.2.1. </w:t>
      </w: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</w:t>
      </w:r>
      <w:r>
        <w:t xml:space="preserve"> 4</w:t>
      </w:r>
      <w:r>
        <w:t xml:space="preserve">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работ/услуг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4"/>
        <w:numPr>
          <w:ilvl w:val="0"/>
          <w:numId w:val="0"/>
        </w:numPr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3.2.2. </w:t>
      </w: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4"/>
        <w:numPr>
          <w:ilvl w:val="0"/>
          <w:numId w:val="0"/>
        </w:numPr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3.2.3. </w:t>
      </w:r>
      <w:r>
        <w:t xml:space="preserve">Несоответствие Расчета стоимости</w:t>
      </w:r>
      <w:r>
        <w:t xml:space="preserve"> работ/ услуг</w:t>
      </w:r>
      <w: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43"/>
        <w:jc w:val="both"/>
        <w:tabs>
          <w:tab w:val="left" w:pos="709" w:leader="none"/>
        </w:tabs>
      </w:pPr>
      <w:r/>
      <w:r/>
    </w:p>
    <w:p>
      <w:pPr>
        <w:pStyle w:val="944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6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44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4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4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pStyle w:val="94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1" w:name="_Toc439063132"/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</w:t>
      </w:r>
      <w:r/>
    </w:p>
    <w:p>
      <w:pPr>
        <w:pStyle w:val="94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t xml:space="preserve">                                                        (форма).</w:t>
      </w:r>
      <w:r/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2" w:name="_Toc8120155"/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2"/>
      <w:r>
        <w:t xml:space="preserve">Проект договора (форма).</w:t>
      </w:r>
      <w:r>
        <w:rPr>
          <w:i/>
        </w:rPr>
        <w:t xml:space="preserve"> </w:t>
      </w:r>
      <w:bookmarkEnd w:id="1"/>
      <w:r>
        <w:rPr>
          <w:i/>
        </w:rPr>
      </w:r>
      <w:r>
        <w:rPr>
          <w:i/>
        </w:rPr>
      </w:r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64"/>
          <w:rFonts w:ascii="Times New Roman" w:hAnsi="Times New Roman" w:cs="Times New Roman"/>
          <w:color w:val="auto"/>
          <w:sz w:val="24"/>
          <w:szCs w:val="24"/>
        </w:rPr>
        <w:outlineLvl w:val="0"/>
      </w:pP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3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</w:rPr>
        <w:outlineLvl w:val="0"/>
      </w:pP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работ.</w:t>
      </w:r>
      <w:r>
        <w:rPr>
          <w:color w:val="ff0000"/>
        </w:rPr>
      </w:r>
      <w:r>
        <w:rPr>
          <w:color w:val="ff0000"/>
        </w:rPr>
      </w:r>
    </w:p>
    <w:p>
      <w:pPr>
        <w:pStyle w:val="944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</w:rPr>
        <w:outlineLvl w:val="0"/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44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Ведущий </w:t>
            </w:r>
            <w:r>
              <w:rPr>
                <w:sz w:val="24"/>
                <w:szCs w:val="24"/>
                <w:highlight w:val="white"/>
              </w:rPr>
              <w:t xml:space="preserve">инженер по ООС (эколог)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УПБ</w:t>
            </w:r>
            <w:r>
              <w:rPr>
                <w:sz w:val="24"/>
                <w:szCs w:val="24"/>
                <w:highlight w:val="white"/>
              </w:rPr>
              <w:t xml:space="preserve">ОТ</w:t>
            </w:r>
            <w:r>
              <w:rPr>
                <w:sz w:val="24"/>
                <w:szCs w:val="24"/>
                <w:highlight w:val="white"/>
              </w:rPr>
              <w:t xml:space="preserve">иПК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Т.А. Кугенева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</w:rPr>
      </w:r>
    </w:p>
    <w:p>
      <w:pPr>
        <w:ind w:left="5387"/>
        <w:pageBreakBefore/>
        <w:rPr>
          <w:bCs/>
        </w:rPr>
      </w:pPr>
      <w:r>
        <w:t xml:space="preserve">Приложение 1 к </w:t>
      </w:r>
      <w:r>
        <w:t xml:space="preserve">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Оказание услуг </w:t>
      </w:r>
      <w:r>
        <w:rPr>
          <w:sz w:val="28"/>
          <w:szCs w:val="28"/>
        </w:rPr>
        <w:t xml:space="preserve">по утилизации отработанной компьютерной техники для             ПО </w:t>
      </w:r>
      <w:r>
        <w:rPr>
          <w:sz w:val="28"/>
          <w:szCs w:val="28"/>
        </w:rPr>
        <w:t xml:space="preserve">Нижнетагильские</w:t>
      </w:r>
      <w:r>
        <w:rPr>
          <w:sz w:val="28"/>
          <w:szCs w:val="28"/>
        </w:rPr>
        <w:t xml:space="preserve"> ЭС.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(указывается предмет закупки)</w:t>
      </w:r>
      <w:bookmarkStart w:id="3" w:name="l152"/>
      <w:r/>
      <w:bookmarkEnd w:id="3"/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/>
            <w:bookmarkStart w:id="4" w:name="l55"/>
            <w:r/>
            <w:bookmarkEnd w:id="4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62"/>
              <w:ind w:left="0" w:right="0" w:firstLine="709"/>
              <w:spacing w:after="200" w:line="276" w:lineRule="auto"/>
              <w:tabs>
                <w:tab w:val="left" w:pos="70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 356</w:t>
            </w:r>
            <w:r>
              <w:rPr>
                <w:sz w:val="28"/>
                <w:szCs w:val="28"/>
              </w:rPr>
              <w:t xml:space="preserve">,00</w:t>
            </w:r>
            <w:r>
              <w:rPr>
                <w:sz w:val="28"/>
                <w:szCs w:val="28"/>
                <w:lang w:eastAsia="ru-RU"/>
              </w:rPr>
              <w:t xml:space="preserve"> рублей, </w:t>
            </w:r>
            <w:r>
              <w:rPr>
                <w:sz w:val="28"/>
                <w:szCs w:val="28"/>
                <w:lang w:eastAsia="ru-RU"/>
              </w:rPr>
              <w:t xml:space="preserve">(</w:t>
            </w:r>
            <w:r>
              <w:rPr>
                <w:sz w:val="28"/>
                <w:szCs w:val="28"/>
                <w:lang w:eastAsia="ru-RU"/>
              </w:rPr>
              <w:t xml:space="preserve">с НДС</w:t>
            </w:r>
            <w:r>
              <w:rPr>
                <w:sz w:val="28"/>
                <w:szCs w:val="28"/>
                <w:lang w:eastAsia="ru-RU"/>
              </w:rPr>
              <w:t xml:space="preserve">), в </w:t>
            </w:r>
            <w:r>
              <w:rPr>
                <w:sz w:val="28"/>
                <w:szCs w:val="28"/>
                <w:lang w:eastAsia="ru-RU"/>
              </w:rPr>
              <w:t xml:space="preserve">т.ч</w:t>
            </w:r>
            <w:r>
              <w:rPr>
                <w:sz w:val="28"/>
                <w:szCs w:val="28"/>
                <w:lang w:eastAsia="ru-RU"/>
              </w:rPr>
              <w:t xml:space="preserve">. НДС 22 %</w:t>
            </w:r>
            <w:r>
              <w:rPr>
                <w:sz w:val="28"/>
                <w:szCs w:val="28"/>
                <w:lang w:eastAsia="ru-RU"/>
              </w:rPr>
              <w:t xml:space="preserve"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  <w:trHeight w:val="1875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Единый стандарт закупок ПАО «</w:t>
            </w:r>
            <w:r>
              <w:rPr>
                <w:sz w:val="28"/>
                <w:szCs w:val="28"/>
              </w:rPr>
              <w:t xml:space="preserve">Россети</w:t>
            </w:r>
            <w:r>
              <w:rPr>
                <w:sz w:val="28"/>
                <w:szCs w:val="28"/>
              </w:rPr>
              <w:t xml:space="preserve">» (положение о закупке)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4 к Техническому заданию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right="7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659" w:type="pct"/>
        <w:tblInd w:w="-1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1274"/>
        <w:gridCol w:w="1420"/>
        <w:gridCol w:w="1274"/>
        <w:gridCol w:w="1274"/>
        <w:gridCol w:w="1278"/>
        <w:gridCol w:w="1278"/>
      </w:tblGrid>
      <w:tr>
        <w:tblPrEx/>
        <w:trPr>
          <w:trHeight w:val="570"/>
        </w:trPr>
        <w:tc>
          <w:tcPr>
            <w:shd w:val="clear" w:color="auto" w:fill="auto"/>
            <w:tcW w:w="14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6"/>
            <w:shd w:val="clear" w:color="auto" w:fill="auto"/>
            <w:tcW w:w="35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Ценовая информация, руб. без НДС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tcW w:w="1474" w:type="pct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18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Коммерческое предложение № 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115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Коммерческое предложение № 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115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Коммерческое предложение № 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tcW w:w="1474" w:type="pct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57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t xml:space="preserve">Начальная (максимальная) цена в руб. с НДС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64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t xml:space="preserve">В том числе НДС,  %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576" w:type="pct"/>
            <w:vAlign w:val="center"/>
            <w:textDirection w:val="lrTb"/>
            <w:noWrap w:val="false"/>
          </w:tcPr>
          <w:p>
            <w:r>
              <w:t xml:space="preserve">Начальная (максимальная) цена в руб. с НДС</w:t>
            </w:r>
            <w:r/>
          </w:p>
        </w:tc>
        <w:tc>
          <w:tcPr>
            <w:shd w:val="clear" w:color="auto" w:fill="auto"/>
            <w:tcW w:w="576" w:type="pct"/>
            <w:vAlign w:val="center"/>
            <w:textDirection w:val="lrTb"/>
            <w:noWrap w:val="false"/>
          </w:tcPr>
          <w:p>
            <w:r>
              <w:t xml:space="preserve">В том числе НДС,  %</w:t>
            </w:r>
            <w:r/>
          </w:p>
        </w:tc>
        <w:tc>
          <w:tcPr>
            <w:shd w:val="clear" w:color="auto" w:fill="auto"/>
            <w:tcW w:w="578" w:type="pct"/>
            <w:vAlign w:val="center"/>
            <w:textDirection w:val="lrTb"/>
            <w:noWrap w:val="false"/>
          </w:tcPr>
          <w:p>
            <w:r>
              <w:t xml:space="preserve">Начальная (максимальная) цена в руб. с НДС</w:t>
            </w:r>
            <w:r/>
          </w:p>
        </w:tc>
        <w:tc>
          <w:tcPr>
            <w:shd w:val="clear" w:color="auto" w:fill="auto"/>
            <w:tcW w:w="578" w:type="pct"/>
            <w:vAlign w:val="center"/>
            <w:textDirection w:val="lrTb"/>
            <w:noWrap w:val="false"/>
          </w:tcPr>
          <w:p>
            <w:r>
              <w:t xml:space="preserve">В том числе НДС,  %</w:t>
            </w:r>
            <w:r/>
          </w:p>
        </w:tc>
      </w:tr>
      <w:tr>
        <w:tblPrEx/>
        <w:trPr>
          <w:trHeight w:val="1296"/>
        </w:trPr>
        <w:tc>
          <w:tcPr>
            <w:shd w:val="clear" w:color="auto" w:fill="auto"/>
            <w:tcW w:w="1474" w:type="pct"/>
            <w:textDirection w:val="lrTb"/>
            <w:noWrap w:val="false"/>
          </w:tcPr>
          <w:p>
            <w:pPr>
              <w:jc w:val="center"/>
            </w:pPr>
            <w:r>
              <w:t xml:space="preserve">Оказание услуг по утилизации отработанной компьютерной техники для   ПО </w:t>
            </w:r>
            <w:r>
              <w:t xml:space="preserve">Нижнетагильские</w:t>
            </w:r>
            <w:r>
              <w:t xml:space="preserve"> ЭС </w:t>
            </w:r>
            <w:r/>
          </w:p>
        </w:tc>
        <w:tc>
          <w:tcPr>
            <w:shd w:val="clear" w:color="auto" w:fill="auto"/>
            <w:tcW w:w="576" w:type="pct"/>
            <w:vAlign w:val="center"/>
            <w:textDirection w:val="lrTb"/>
            <w:noWrap w:val="false"/>
          </w:tcPr>
          <w:p>
            <w:r>
              <w:t xml:space="preserve">7 356</w:t>
            </w:r>
            <w:r>
              <w:t xml:space="preserve">,</w:t>
            </w:r>
            <w:r>
              <w:t xml:space="preserve">00</w:t>
            </w:r>
            <w:r/>
          </w:p>
        </w:tc>
        <w:tc>
          <w:tcPr>
            <w:shd w:val="clear" w:color="auto" w:fill="auto"/>
            <w:tcW w:w="64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576" w:type="pct"/>
            <w:vAlign w:val="center"/>
            <w:textDirection w:val="lrTb"/>
            <w:noWrap w:val="false"/>
          </w:tcPr>
          <w:p>
            <w:pPr>
              <w:jc w:val="right"/>
            </w:pPr>
            <w:r>
              <w:t xml:space="preserve">11</w:t>
            </w:r>
            <w:r>
              <w:t xml:space="preserve"> 224</w:t>
            </w:r>
            <w:r>
              <w:t xml:space="preserve">,00</w:t>
            </w:r>
            <w:r/>
          </w:p>
        </w:tc>
        <w:tc>
          <w:tcPr>
            <w:shd w:val="clear" w:color="auto" w:fill="auto"/>
            <w:tcW w:w="57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578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19 117,4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578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30"/>
        <w:ind w:left="567"/>
        <w:jc w:val="center"/>
        <w:tabs>
          <w:tab w:val="left" w:pos="993" w:leader="none"/>
        </w:tabs>
      </w:pPr>
      <w:r/>
      <w:r/>
    </w:p>
    <w:p>
      <w:pPr>
        <w:pStyle w:val="930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</w:t>
      </w:r>
      <w:r>
        <w:rPr>
          <w:b w:val="0"/>
          <w:i w:val="0"/>
          <w:sz w:val="24"/>
          <w:szCs w:val="24"/>
        </w:rPr>
        <w:t xml:space="preserve">3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956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  <w:t xml:space="preserve">ФОРМА. ТЕХНИЧЕСКОЕ ПРЕДЛОЖЕНИЕ</w:t>
      </w:r>
      <w:r>
        <w:rPr>
          <w:b/>
        </w:rPr>
      </w:r>
      <w:r>
        <w:rPr>
          <w:b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44"/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3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pStyle w:val="943"/>
        <w:jc w:val="both"/>
      </w:pPr>
      <w:r/>
      <w:r/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30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</w:t>
      </w:r>
      <w:r>
        <w:rPr>
          <w:b w:val="0"/>
          <w:i w:val="0"/>
          <w:sz w:val="24"/>
          <w:szCs w:val="24"/>
        </w:rPr>
        <w:t xml:space="preserve">4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943"/>
        <w:jc w:val="both"/>
      </w:pPr>
      <w:r>
        <w:t xml:space="preserve">                                                                                                                        </w:t>
      </w:r>
      <w:r>
        <w:t xml:space="preserve">к Техническому заданию</w:t>
      </w:r>
      <w:r/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r/>
      <w:r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583"/>
        <w:gridCol w:w="1559"/>
        <w:gridCol w:w="1276"/>
        <w:gridCol w:w="1275"/>
        <w:gridCol w:w="1276"/>
        <w:gridCol w:w="1276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услуг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Количество,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тонн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Цена   за  (1 тонну</w:t>
            </w:r>
            <w:r>
              <w:rPr>
                <w:bCs/>
              </w:rPr>
              <w:t xml:space="preserve">), руб. без НДС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Цена   за  (1 тонну</w:t>
            </w:r>
            <w:r>
              <w:rPr>
                <w:bCs/>
              </w:rPr>
              <w:t xml:space="preserve">), руб. с НДС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Стоимость              руб. без НДС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Стоимость              руб. с НДС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7</w:t>
            </w:r>
            <w:r/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r>
              <w:t xml:space="preserve">Утилизация Мониторы компьютерные жидкокристаллические, утратившие потребительские свойства, в сборе. Код ФККО </w:t>
            </w:r>
            <w:r>
              <w:rPr>
                <w:color w:val="000000"/>
              </w:rPr>
              <w:t xml:space="preserve">4 81 205 02 52 4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8110,66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9895,00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1622,13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1979,00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r>
              <w:t xml:space="preserve">Утилизация Принтеры, сканеры, многофункциональные устройства (</w:t>
            </w:r>
            <w:r>
              <w:t xml:space="preserve">мфу</w:t>
            </w:r>
            <w:r>
              <w:t xml:space="preserve">), утратившие потребительские свойства. Код ФККО </w:t>
            </w:r>
            <w:r>
              <w:rPr>
                <w:color w:val="000000"/>
              </w:rPr>
              <w:t xml:space="preserve">4 81 202 01 52 4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0,2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8110,66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9895,00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1622,13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1979,00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r>
              <w:t xml:space="preserve">Утилизация Клавиатура, манипулятор "мышь" с соединительными проводами, утратившие потребительские свойства. Код ФККО </w:t>
            </w:r>
            <w:r>
              <w:rPr>
                <w:color w:val="000000"/>
              </w:rPr>
              <w:t xml:space="preserve">4 81 204 01 52 4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0,05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31372,95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38275,00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1568,65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1913,75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r>
              <w:t xml:space="preserve">Утилизация Системный блок компьютера, утративший потребительские свойства. Код ФККО </w:t>
            </w:r>
            <w:r>
              <w:rPr>
                <w:color w:val="000000"/>
              </w:rPr>
              <w:t xml:space="preserve">4 81 201 01 52 4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0,15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14:ligatures w14:val="none"/>
              </w:rPr>
            </w:pPr>
            <w:r>
              <w:t xml:space="preserve">8110,66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9895,00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1216,60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14:ligatures w14:val="none"/>
              </w:rPr>
            </w:pPr>
            <w:r>
              <w:t xml:space="preserve">1484,25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Стоимость закупки по оценке Заказчика: 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6 029,51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7 356,00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Стоимость закупки по оценке Участника: 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/>
          </w:tcPr>
          <w:p>
            <w:pPr>
              <w:jc w:val="center"/>
            </w:pPr>
            <w:r>
              <w:rPr>
                <w:bCs/>
              </w:rPr>
              <w:t xml:space="preserve">*</w:t>
            </w:r>
            <w:r/>
          </w:p>
        </w:tc>
      </w:tr>
    </w:tbl>
    <w:p>
      <w:pPr>
        <w:pStyle w:val="943"/>
        <w:rPr>
          <w:i/>
        </w:rPr>
      </w:pPr>
      <w:r>
        <w:rPr>
          <w:i/>
        </w:rPr>
        <w:t xml:space="preserve">* заполняется Участником закупки</w:t>
      </w:r>
      <w:r>
        <w:rPr>
          <w:i/>
        </w:rPr>
      </w:r>
      <w:r>
        <w:rPr>
          <w:i/>
        </w:rPr>
      </w:r>
    </w:p>
    <w:p>
      <w:pPr>
        <w:pStyle w:val="943"/>
        <w:jc w:val="both"/>
      </w:pPr>
      <w:r>
        <w:t xml:space="preserve">Руководитель организации      </w:t>
      </w:r>
      <w:r>
        <w:t xml:space="preserve">                   </w:t>
      </w:r>
      <w:r>
        <w:t xml:space="preserve">подпись                                       ФИО</w:t>
      </w:r>
      <w:r/>
    </w:p>
    <w:p>
      <w:pPr>
        <w:pStyle w:val="930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30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30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30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</w:t>
      </w:r>
      <w:r>
        <w:rPr>
          <w:i w:val="0"/>
          <w:sz w:val="24"/>
        </w:rPr>
        <w:t xml:space="preserve">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jc w:val="center"/>
        <w:spacing w:line="276" w:lineRule="auto"/>
      </w:pPr>
      <w:r>
        <w:t xml:space="preserve">Технического задания на проведение </w:t>
      </w:r>
      <w:r>
        <w:t xml:space="preserve">сравнения цен </w:t>
      </w:r>
      <w:r>
        <w:t xml:space="preserve">в электронной форме</w:t>
      </w:r>
      <w:r>
        <w:t xml:space="preserve">, </w:t>
      </w:r>
      <w:r>
        <w:t xml:space="preserve">участниками которого могут быть только субъекты МСП на право </w:t>
      </w:r>
      <w:r>
        <w:t xml:space="preserve">заключения договора на </w:t>
      </w:r>
      <w:r/>
    </w:p>
    <w:p>
      <w:pPr>
        <w:jc w:val="center"/>
        <w:tabs>
          <w:tab w:val="left" w:pos="709" w:leader="none"/>
        </w:tabs>
        <w:rPr>
          <w:sz w:val="22"/>
          <w:szCs w:val="22"/>
        </w:rPr>
      </w:pPr>
      <w:r>
        <w:t xml:space="preserve">Оказание услуг по </w:t>
      </w:r>
      <w:r>
        <w:t xml:space="preserve">утилизации отходов оргтехники (компьютеры, мониторы, МФУ и др.)  </w:t>
      </w:r>
      <w:r>
        <w:rPr>
          <w:sz w:val="22"/>
          <w:szCs w:val="22"/>
        </w:rPr>
        <w:t xml:space="preserve">ПО </w:t>
      </w:r>
      <w:r>
        <w:rPr>
          <w:sz w:val="22"/>
          <w:szCs w:val="22"/>
        </w:rPr>
        <w:t xml:space="preserve">НТ</w:t>
      </w:r>
      <w:r>
        <w:rPr>
          <w:sz w:val="22"/>
          <w:szCs w:val="22"/>
        </w:rPr>
        <w:t xml:space="preserve">ЭС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line="276" w:lineRule="auto"/>
      </w:pPr>
      <w:r>
        <w:t xml:space="preserve">.</w:t>
      </w:r>
      <w:r>
        <w:t xml:space="preserve"> </w:t>
      </w:r>
      <w:r/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r>
              <w:t xml:space="preserve">Ведущий </w:t>
            </w:r>
            <w:r>
              <w:t xml:space="preserve">инженер по</w:t>
            </w:r>
            <w:r>
              <w:t xml:space="preserve"> ООС </w:t>
            </w:r>
            <w:r>
              <w:t xml:space="preserve">(эколог) </w:t>
            </w:r>
            <w:r>
              <w:t xml:space="preserve">УПБ</w:t>
            </w:r>
            <w:r>
              <w:t xml:space="preserve">ОТ</w:t>
            </w:r>
            <w:r>
              <w:t xml:space="preserve">иПК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r>
              <w:t xml:space="preserve">Т.А. Кугенева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559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</w:t>
            </w:r>
            <w:r>
              <w:rPr>
                <w:b/>
                <w:sz w:val="20"/>
                <w:szCs w:val="20"/>
              </w:rPr>
              <w:t xml:space="preserve">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главного инженера по ПБОТиПК-</w:t>
            </w:r>
            <w:r>
              <w:rPr>
                <w:sz w:val="24"/>
                <w:szCs w:val="24"/>
              </w:rPr>
              <w:t xml:space="preserve">начальник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УПБ</w:t>
            </w: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  <w:t xml:space="preserve">иПК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Губин Н.В.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r>
              <w:rPr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-6350</wp:posOffset>
                      </wp:positionV>
                      <wp:extent cx="661035" cy="481330"/>
                      <wp:effectExtent l="0" t="0" r="0" b="0"/>
                      <wp:wrapNone/>
                      <wp:docPr id="1" name="Рисунок 1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8759848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4151" t="71620" r="56041" b="15686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661034" cy="48132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59264;o:allowoverlap:true;o:allowincell:true;mso-position-horizontal-relative:text;margin-left:3.10pt;mso-position-horizontal:absolute;mso-position-vertical-relative:text;margin-top:-0.50pt;mso-position-vertical:absolute;width:52.05pt;height:37.90pt;mso-wrap-distance-left:9.00pt;mso-wrap-distance-top:0.00pt;mso-wrap-distance-right:9.00pt;mso-wrap-distance-bottom:0.00pt;rotation:0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/>
          </w:p>
          <w:p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30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50102010706020507"/>
  </w:font>
  <w:font w:name="Arial Unicode MS">
    <w:panose1 w:val="020B0604020202020204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3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rPr>
        <w:rStyle w:val="940"/>
      </w:rPr>
      <w:framePr w:wrap="around" w:vAnchor="text" w:hAnchor="margin" w:xAlign="center" w:y="1"/>
    </w:pPr>
    <w:r>
      <w:rPr>
        <w:rStyle w:val="940"/>
      </w:rPr>
      <w:fldChar w:fldCharType="begin"/>
    </w:r>
    <w:r>
      <w:rPr>
        <w:rStyle w:val="940"/>
      </w:rPr>
      <w:instrText xml:space="preserve">PAGE  </w:instrText>
    </w:r>
    <w:r>
      <w:rPr>
        <w:rStyle w:val="940"/>
      </w:rPr>
      <w:fldChar w:fldCharType="end"/>
    </w:r>
    <w:r>
      <w:rPr>
        <w:rStyle w:val="940"/>
      </w:rPr>
    </w:r>
    <w:r>
      <w:rPr>
        <w:rStyle w:val="940"/>
      </w:rPr>
    </w:r>
  </w:p>
  <w:p>
    <w:pPr>
      <w:pStyle w:val="93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86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  <w:tabs>
          <w:tab w:val="num" w:pos="7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80" w:hanging="1080"/>
        <w:tabs>
          <w:tab w:val="num" w:pos="10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9">
    <w:multiLevelType w:val="hybridMultilevel"/>
    <w:styleLink w:val="975"/>
    <w:lvl w:ilvl="0">
      <w:start w:val="1"/>
      <w:numFmt w:val="decimal"/>
      <w:pStyle w:val="97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7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7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7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7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7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7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multiLevelType w:val="hybridMultilevel"/>
    <w:numStyleLink w:val="97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21"/>
  </w:num>
  <w:num w:numId="8">
    <w:abstractNumId w:val="6"/>
  </w:num>
  <w:num w:numId="9">
    <w:abstractNumId w:val="2"/>
  </w:num>
  <w:num w:numId="10">
    <w:abstractNumId w:val="23"/>
  </w:num>
  <w:num w:numId="11">
    <w:abstractNumId w:val="17"/>
  </w:num>
  <w:num w:numId="12">
    <w:abstractNumId w:val="11"/>
  </w:num>
  <w:num w:numId="13">
    <w:abstractNumId w:val="13"/>
  </w:num>
  <w:num w:numId="14">
    <w:abstractNumId w:val="16"/>
  </w:num>
  <w:num w:numId="15">
    <w:abstractNumId w:val="3"/>
  </w:num>
  <w:num w:numId="16">
    <w:abstractNumId w:val="4"/>
  </w:num>
  <w:num w:numId="17">
    <w:abstractNumId w:val="7"/>
  </w:num>
  <w:num w:numId="18">
    <w:abstractNumId w:val="18"/>
  </w:num>
  <w:num w:numId="19">
    <w:abstractNumId w:val="0"/>
  </w:num>
  <w:num w:numId="20">
    <w:abstractNumId w:val="22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20"/>
    <w:lvlOverride w:ilvl="0">
      <w:lvl w:ilvl="0">
        <w:start w:val="1"/>
        <w:numFmt w:val="decimal"/>
        <w:pStyle w:val="97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7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7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7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7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7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7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0"/>
    <w:lvlOverride w:ilvl="0">
      <w:startOverride w:val="1"/>
      <w:lvl w:ilvl="0">
        <w:start w:val="1"/>
        <w:numFmt w:val="decimal"/>
        <w:pStyle w:val="97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7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4">
    <w:name w:val="Heading 1"/>
    <w:basedOn w:val="928"/>
    <w:next w:val="928"/>
    <w:link w:val="76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65">
    <w:name w:val="Heading 1 Char"/>
    <w:basedOn w:val="933"/>
    <w:link w:val="76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66">
    <w:name w:val="Heading 2 Char"/>
    <w:basedOn w:val="933"/>
    <w:link w:val="929"/>
    <w:uiPriority w:val="9"/>
    <w:rPr>
      <w:rFonts w:ascii="Liberation Sans" w:hAnsi="Liberation Sans" w:eastAsia="Liberation Sans" w:cs="Liberation Sans"/>
      <w:sz w:val="34"/>
    </w:rPr>
  </w:style>
  <w:style w:type="paragraph" w:styleId="767">
    <w:name w:val="Heading 3"/>
    <w:basedOn w:val="928"/>
    <w:next w:val="928"/>
    <w:link w:val="76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68">
    <w:name w:val="Heading 3 Char"/>
    <w:basedOn w:val="933"/>
    <w:link w:val="76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69">
    <w:name w:val="Heading 4"/>
    <w:basedOn w:val="928"/>
    <w:next w:val="928"/>
    <w:link w:val="77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0">
    <w:name w:val="Heading 4 Char"/>
    <w:basedOn w:val="933"/>
    <w:link w:val="76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1">
    <w:name w:val="Heading 5 Char"/>
    <w:basedOn w:val="933"/>
    <w:link w:val="93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72">
    <w:name w:val="Heading 6"/>
    <w:basedOn w:val="928"/>
    <w:next w:val="928"/>
    <w:link w:val="77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3">
    <w:name w:val="Heading 6 Char"/>
    <w:basedOn w:val="933"/>
    <w:link w:val="77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4">
    <w:name w:val="Heading 7 Char"/>
    <w:basedOn w:val="933"/>
    <w:link w:val="93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75">
    <w:name w:val="Heading 8 Char"/>
    <w:basedOn w:val="933"/>
    <w:link w:val="93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76">
    <w:name w:val="Heading 9"/>
    <w:basedOn w:val="928"/>
    <w:next w:val="928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7">
    <w:name w:val="Heading 9 Char"/>
    <w:basedOn w:val="933"/>
    <w:link w:val="77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8">
    <w:name w:val="Title Char"/>
    <w:basedOn w:val="933"/>
    <w:link w:val="959"/>
    <w:uiPriority w:val="10"/>
    <w:rPr>
      <w:sz w:val="48"/>
      <w:szCs w:val="48"/>
    </w:rPr>
  </w:style>
  <w:style w:type="paragraph" w:styleId="779">
    <w:name w:val="Subtitle"/>
    <w:basedOn w:val="928"/>
    <w:next w:val="928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basedOn w:val="933"/>
    <w:link w:val="779"/>
    <w:uiPriority w:val="11"/>
    <w:rPr>
      <w:sz w:val="24"/>
      <w:szCs w:val="24"/>
    </w:rPr>
  </w:style>
  <w:style w:type="paragraph" w:styleId="781">
    <w:name w:val="Quote"/>
    <w:basedOn w:val="928"/>
    <w:next w:val="928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28"/>
    <w:next w:val="928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character" w:styleId="785">
    <w:name w:val="Header Char"/>
    <w:basedOn w:val="933"/>
    <w:link w:val="941"/>
    <w:uiPriority w:val="99"/>
  </w:style>
  <w:style w:type="character" w:styleId="786">
    <w:name w:val="Footer Char"/>
    <w:basedOn w:val="933"/>
    <w:link w:val="938"/>
    <w:uiPriority w:val="99"/>
  </w:style>
  <w:style w:type="character" w:styleId="787">
    <w:name w:val="Caption Char"/>
    <w:basedOn w:val="933"/>
    <w:link w:val="948"/>
    <w:uiPriority w:val="35"/>
    <w:rPr>
      <w:b/>
      <w:bCs/>
      <w:color w:val="4f81bd" w:themeColor="accent1"/>
      <w:sz w:val="18"/>
      <w:szCs w:val="18"/>
    </w:rPr>
  </w:style>
  <w:style w:type="table" w:styleId="788">
    <w:name w:val="Table Grid"/>
    <w:basedOn w:val="9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Table Grid Light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1">
    <w:name w:val="Plain Table 2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2">
    <w:name w:val="Plain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>
    <w:name w:val="Grid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>
    <w:name w:val="Grid Table 4 - Accent 1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8">
    <w:name w:val="Grid Table 4 - Accent 2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Grid Table 4 - Accent 3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0">
    <w:name w:val="Grid Table 4 - Accent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Grid Table 4 - Accent 5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2">
    <w:name w:val="Grid Table 4 - Accent 6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3">
    <w:name w:val="Grid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0">
    <w:name w:val="Grid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31">
    <w:name w:val="Grid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32">
    <w:name w:val="Grid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33">
    <w:name w:val="Grid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34">
    <w:name w:val="Grid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35">
    <w:name w:val="Grid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6">
    <w:name w:val="Grid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7">
    <w:name w:val="Grid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2">
    <w:name w:val="List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3">
    <w:name w:val="List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4">
    <w:name w:val="List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5">
    <w:name w:val="List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6">
    <w:name w:val="List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7">
    <w:name w:val="List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8">
    <w:name w:val="List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3">
    <w:name w:val="List Table 5 Dark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4">
    <w:name w:val="List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5">
    <w:name w:val="List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6">
    <w:name w:val="List Table 5 Dark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7">
    <w:name w:val="List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8">
    <w:name w:val="List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9">
    <w:name w:val="List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0">
    <w:name w:val="List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1">
    <w:name w:val="List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List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3">
    <w:name w:val="List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List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5">
    <w:name w:val="List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6">
    <w:name w:val="List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87">
    <w:name w:val="List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88">
    <w:name w:val="List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89">
    <w:name w:val="List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90">
    <w:name w:val="List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91">
    <w:name w:val="List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92">
    <w:name w:val="List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93">
    <w:name w:val="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5">
    <w:name w:val="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6">
    <w:name w:val="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7">
    <w:name w:val="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8">
    <w:name w:val="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9">
    <w:name w:val="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0">
    <w:name w:val="Bordered &amp; 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Bordered &amp; 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2">
    <w:name w:val="Bordered &amp; 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3">
    <w:name w:val="Bordered &amp; 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4">
    <w:name w:val="Bordered &amp; 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5">
    <w:name w:val="Bordered &amp; 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6">
    <w:name w:val="Bordered &amp; 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7">
    <w:name w:val="Bordered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8">
    <w:name w:val="Bordered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9">
    <w:name w:val="Bordered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0">
    <w:name w:val="Bordered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1">
    <w:name w:val="Bordered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2">
    <w:name w:val="Bordered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3">
    <w:name w:val="Bordered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4">
    <w:name w:val="Footnote Text Char"/>
    <w:link w:val="988"/>
    <w:uiPriority w:val="99"/>
    <w:rPr>
      <w:sz w:val="18"/>
    </w:rPr>
  </w:style>
  <w:style w:type="paragraph" w:styleId="915">
    <w:name w:val="endnote text"/>
    <w:basedOn w:val="928"/>
    <w:link w:val="916"/>
    <w:uiPriority w:val="99"/>
    <w:semiHidden/>
    <w:unhideWhenUsed/>
    <w:pPr>
      <w:spacing w:after="0" w:line="240" w:lineRule="auto"/>
    </w:pPr>
    <w:rPr>
      <w:sz w:val="20"/>
    </w:rPr>
  </w:style>
  <w:style w:type="character" w:styleId="916">
    <w:name w:val="Endnote Text Char"/>
    <w:link w:val="915"/>
    <w:uiPriority w:val="99"/>
    <w:rPr>
      <w:sz w:val="20"/>
    </w:rPr>
  </w:style>
  <w:style w:type="character" w:styleId="917">
    <w:name w:val="endnote reference"/>
    <w:basedOn w:val="933"/>
    <w:uiPriority w:val="99"/>
    <w:semiHidden/>
    <w:unhideWhenUsed/>
    <w:rPr>
      <w:vertAlign w:val="superscript"/>
    </w:rPr>
  </w:style>
  <w:style w:type="paragraph" w:styleId="918">
    <w:name w:val="toc 1"/>
    <w:basedOn w:val="928"/>
    <w:next w:val="928"/>
    <w:uiPriority w:val="39"/>
    <w:unhideWhenUsed/>
    <w:pPr>
      <w:ind w:left="0" w:right="0" w:firstLine="0"/>
      <w:spacing w:after="57"/>
    </w:pPr>
  </w:style>
  <w:style w:type="paragraph" w:styleId="919">
    <w:name w:val="toc 2"/>
    <w:basedOn w:val="928"/>
    <w:next w:val="928"/>
    <w:uiPriority w:val="39"/>
    <w:unhideWhenUsed/>
    <w:pPr>
      <w:ind w:left="283" w:right="0" w:firstLine="0"/>
      <w:spacing w:after="57"/>
    </w:pPr>
  </w:style>
  <w:style w:type="paragraph" w:styleId="920">
    <w:name w:val="toc 3"/>
    <w:basedOn w:val="928"/>
    <w:next w:val="928"/>
    <w:uiPriority w:val="39"/>
    <w:unhideWhenUsed/>
    <w:pPr>
      <w:ind w:left="567" w:right="0" w:firstLine="0"/>
      <w:spacing w:after="57"/>
    </w:pPr>
  </w:style>
  <w:style w:type="paragraph" w:styleId="921">
    <w:name w:val="toc 4"/>
    <w:basedOn w:val="928"/>
    <w:next w:val="928"/>
    <w:uiPriority w:val="39"/>
    <w:unhideWhenUsed/>
    <w:pPr>
      <w:ind w:left="850" w:right="0" w:firstLine="0"/>
      <w:spacing w:after="57"/>
    </w:pPr>
  </w:style>
  <w:style w:type="paragraph" w:styleId="922">
    <w:name w:val="toc 5"/>
    <w:basedOn w:val="928"/>
    <w:next w:val="928"/>
    <w:uiPriority w:val="39"/>
    <w:unhideWhenUsed/>
    <w:pPr>
      <w:ind w:left="1134" w:right="0" w:firstLine="0"/>
      <w:spacing w:after="57"/>
    </w:pPr>
  </w:style>
  <w:style w:type="paragraph" w:styleId="923">
    <w:name w:val="toc 7"/>
    <w:basedOn w:val="928"/>
    <w:next w:val="928"/>
    <w:uiPriority w:val="39"/>
    <w:unhideWhenUsed/>
    <w:pPr>
      <w:ind w:left="1701" w:right="0" w:firstLine="0"/>
      <w:spacing w:after="57"/>
    </w:pPr>
  </w:style>
  <w:style w:type="paragraph" w:styleId="924">
    <w:name w:val="toc 8"/>
    <w:basedOn w:val="928"/>
    <w:next w:val="928"/>
    <w:uiPriority w:val="39"/>
    <w:unhideWhenUsed/>
    <w:pPr>
      <w:ind w:left="1984" w:right="0" w:firstLine="0"/>
      <w:spacing w:after="57"/>
    </w:pPr>
  </w:style>
  <w:style w:type="paragraph" w:styleId="925">
    <w:name w:val="toc 9"/>
    <w:basedOn w:val="928"/>
    <w:next w:val="928"/>
    <w:uiPriority w:val="39"/>
    <w:unhideWhenUsed/>
    <w:pPr>
      <w:ind w:left="2268" w:right="0" w:firstLine="0"/>
      <w:spacing w:after="57"/>
    </w:pPr>
  </w:style>
  <w:style w:type="paragraph" w:styleId="926">
    <w:name w:val="TOC Heading"/>
    <w:uiPriority w:val="39"/>
    <w:unhideWhenUsed/>
  </w:style>
  <w:style w:type="paragraph" w:styleId="927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>
    <w:name w:val="Heading 2"/>
    <w:basedOn w:val="928"/>
    <w:next w:val="928"/>
    <w:link w:val="964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30">
    <w:name w:val="Heading 5"/>
    <w:basedOn w:val="928"/>
    <w:next w:val="928"/>
    <w:link w:val="936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31">
    <w:name w:val="Heading 7"/>
    <w:basedOn w:val="928"/>
    <w:next w:val="928"/>
    <w:link w:val="937"/>
    <w:qFormat/>
    <w:pPr>
      <w:spacing w:before="240" w:after="60"/>
      <w:outlineLvl w:val="6"/>
    </w:pPr>
    <w:rPr>
      <w:rFonts w:eastAsia="SimSun"/>
    </w:rPr>
  </w:style>
  <w:style w:type="paragraph" w:styleId="932">
    <w:name w:val="Heading 8"/>
    <w:basedOn w:val="928"/>
    <w:next w:val="928"/>
    <w:link w:val="987"/>
    <w:uiPriority w:val="9"/>
    <w:semiHidden/>
    <w:unhideWhenUsed/>
    <w:qFormat/>
    <w:pPr>
      <w:keepLines/>
      <w:keepNext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933" w:default="1">
    <w:name w:val="Default Paragraph Font"/>
    <w:uiPriority w:val="1"/>
    <w:semiHidden/>
    <w:unhideWhenUsed/>
  </w:style>
  <w:style w:type="table" w:styleId="9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5" w:default="1">
    <w:name w:val="No List"/>
    <w:uiPriority w:val="99"/>
    <w:semiHidden/>
    <w:unhideWhenUsed/>
  </w:style>
  <w:style w:type="character" w:styleId="936" w:customStyle="1">
    <w:name w:val="Заголовок 5 Знак"/>
    <w:basedOn w:val="933"/>
    <w:link w:val="930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37" w:customStyle="1">
    <w:name w:val="Заголовок 7 Знак"/>
    <w:basedOn w:val="933"/>
    <w:link w:val="931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38">
    <w:name w:val="Footer"/>
    <w:basedOn w:val="928"/>
    <w:link w:val="939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39" w:customStyle="1">
    <w:name w:val="Нижний колонтитул Знак"/>
    <w:basedOn w:val="933"/>
    <w:link w:val="938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40">
    <w:name w:val="page number"/>
    <w:basedOn w:val="933"/>
  </w:style>
  <w:style w:type="paragraph" w:styleId="941">
    <w:name w:val="Header"/>
    <w:basedOn w:val="928"/>
    <w:link w:val="94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2" w:customStyle="1">
    <w:name w:val="Верхний колонтитул Знак"/>
    <w:basedOn w:val="933"/>
    <w:link w:val="94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3">
    <w:name w:val="No Spacing"/>
    <w:link w:val="981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4">
    <w:name w:val="List Paragraph"/>
    <w:basedOn w:val="928"/>
    <w:link w:val="971"/>
    <w:uiPriority w:val="34"/>
    <w:qFormat/>
    <w:pPr>
      <w:contextualSpacing/>
      <w:ind w:left="720"/>
    </w:pPr>
  </w:style>
  <w:style w:type="paragraph" w:styleId="945">
    <w:name w:val="Balloon Text"/>
    <w:basedOn w:val="928"/>
    <w:link w:val="9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46" w:customStyle="1">
    <w:name w:val="Текст выноски Знак"/>
    <w:basedOn w:val="933"/>
    <w:link w:val="94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47">
    <w:name w:val="Hyperlink"/>
    <w:uiPriority w:val="99"/>
    <w:rPr>
      <w:color w:val="0000ff"/>
      <w:u w:val="single"/>
    </w:rPr>
  </w:style>
  <w:style w:type="paragraph" w:styleId="948">
    <w:name w:val="Caption"/>
    <w:basedOn w:val="928"/>
    <w:next w:val="928"/>
    <w:link w:val="787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49">
    <w:name w:val="FollowedHyperlink"/>
    <w:basedOn w:val="933"/>
    <w:uiPriority w:val="99"/>
    <w:semiHidden/>
    <w:unhideWhenUsed/>
    <w:rPr>
      <w:color w:val="954f72" w:themeColor="followedHyperlink"/>
      <w:u w:val="single"/>
    </w:rPr>
  </w:style>
  <w:style w:type="paragraph" w:styleId="950">
    <w:name w:val="Body Text Indent"/>
    <w:basedOn w:val="928"/>
    <w:link w:val="951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51" w:customStyle="1">
    <w:name w:val="Основной текст с отступом Знак"/>
    <w:basedOn w:val="933"/>
    <w:link w:val="950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2" w:customStyle="1">
    <w:name w:val="Подпункт"/>
    <w:basedOn w:val="928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53" w:customStyle="1">
    <w:name w:val="Таблица шапка"/>
    <w:basedOn w:val="928"/>
    <w:pPr>
      <w:ind w:left="57" w:right="57"/>
      <w:keepNext/>
      <w:spacing w:before="40" w:after="40"/>
    </w:pPr>
    <w:rPr>
      <w:sz w:val="22"/>
      <w:szCs w:val="20"/>
    </w:rPr>
  </w:style>
  <w:style w:type="paragraph" w:styleId="954" w:customStyle="1">
    <w:name w:val="Таблица текст"/>
    <w:basedOn w:val="928"/>
    <w:pPr>
      <w:ind w:left="57" w:right="57"/>
      <w:spacing w:before="40" w:after="40"/>
    </w:pPr>
    <w:rPr>
      <w:szCs w:val="20"/>
    </w:rPr>
  </w:style>
  <w:style w:type="paragraph" w:styleId="955" w:customStyle="1">
    <w:name w:val="Times 12"/>
    <w:basedOn w:val="928"/>
    <w:pPr>
      <w:ind w:firstLine="567"/>
      <w:jc w:val="both"/>
    </w:pPr>
    <w:rPr>
      <w:szCs w:val="20"/>
      <w:lang w:eastAsia="ar-SA"/>
    </w:rPr>
  </w:style>
  <w:style w:type="paragraph" w:styleId="956" w:customStyle="1">
    <w:name w:val="StGen0"/>
    <w:basedOn w:val="928"/>
    <w:next w:val="959"/>
    <w:link w:val="957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57" w:customStyle="1">
    <w:name w:val="Название Знак"/>
    <w:link w:val="956"/>
    <w:rPr>
      <w:rFonts w:eastAsia="MS Mincho"/>
      <w:b/>
      <w:sz w:val="28"/>
      <w:lang w:val="ru-RU" w:eastAsia="ru-RU" w:bidi="ar-SA"/>
    </w:rPr>
  </w:style>
  <w:style w:type="paragraph" w:styleId="958" w:customStyle="1">
    <w:name w:val="Пункт б/н"/>
    <w:basedOn w:val="928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59">
    <w:name w:val="Title"/>
    <w:basedOn w:val="928"/>
    <w:next w:val="928"/>
    <w:link w:val="96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0" w:customStyle="1">
    <w:name w:val="Заголовок Знак"/>
    <w:basedOn w:val="933"/>
    <w:link w:val="95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61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62" w:customStyle="1">
    <w:name w:val="Абзац списка1"/>
    <w:basedOn w:val="928"/>
    <w:link w:val="963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63" w:customStyle="1">
    <w:name w:val="List Paragraph Char"/>
    <w:link w:val="962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64" w:customStyle="1">
    <w:name w:val="Заголовок 2 Знак"/>
    <w:basedOn w:val="933"/>
    <w:link w:val="929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65" w:customStyle="1">
    <w:name w:val="StGen1"/>
    <w:basedOn w:val="928"/>
    <w:next w:val="959"/>
    <w:qFormat/>
    <w:pPr>
      <w:jc w:val="center"/>
    </w:pPr>
    <w:rPr>
      <w:b/>
      <w:sz w:val="28"/>
      <w:szCs w:val="20"/>
    </w:rPr>
  </w:style>
  <w:style w:type="character" w:styleId="966">
    <w:name w:val="annotation reference"/>
    <w:basedOn w:val="933"/>
    <w:uiPriority w:val="99"/>
    <w:unhideWhenUsed/>
    <w:rPr>
      <w:sz w:val="16"/>
      <w:szCs w:val="16"/>
    </w:rPr>
  </w:style>
  <w:style w:type="paragraph" w:styleId="967">
    <w:name w:val="annotation text"/>
    <w:basedOn w:val="928"/>
    <w:link w:val="968"/>
    <w:uiPriority w:val="99"/>
    <w:unhideWhenUsed/>
    <w:rPr>
      <w:sz w:val="20"/>
      <w:szCs w:val="20"/>
    </w:rPr>
  </w:style>
  <w:style w:type="character" w:styleId="968" w:customStyle="1">
    <w:name w:val="Текст примечания Знак"/>
    <w:basedOn w:val="933"/>
    <w:link w:val="96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9">
    <w:name w:val="annotation subject"/>
    <w:basedOn w:val="967"/>
    <w:next w:val="967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8"/>
    <w:link w:val="96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71" w:customStyle="1">
    <w:name w:val="Абзац списка Знак"/>
    <w:basedOn w:val="933"/>
    <w:link w:val="94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73" w:customStyle="1">
    <w:name w:val="2-з"/>
    <w:basedOn w:val="928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74" w:customStyle="1">
    <w:name w:val="3-з"/>
    <w:link w:val="980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75" w:customStyle="1">
    <w:name w:val="нумерация"/>
    <w:uiPriority w:val="99"/>
    <w:pPr>
      <w:numPr>
        <w:ilvl w:val="0"/>
        <w:numId w:val="23"/>
      </w:numPr>
    </w:pPr>
  </w:style>
  <w:style w:type="paragraph" w:styleId="976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7" w:customStyle="1">
    <w:name w:val="5-з"/>
    <w:basedOn w:val="928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78" w:customStyle="1">
    <w:name w:val="6-буквы"/>
    <w:basedOn w:val="928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79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0" w:customStyle="1">
    <w:name w:val="3-з Знак"/>
    <w:basedOn w:val="933"/>
    <w:link w:val="97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81" w:customStyle="1">
    <w:name w:val="Без интервала Знак"/>
    <w:link w:val="94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>
    <w:name w:val="toc 6"/>
    <w:basedOn w:val="928"/>
    <w:next w:val="928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8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84">
    <w:name w:val="Body Text Indent 3"/>
    <w:basedOn w:val="928"/>
    <w:link w:val="985"/>
    <w:uiPriority w:val="99"/>
    <w:pPr>
      <w:ind w:left="283"/>
      <w:spacing w:after="120"/>
    </w:pPr>
    <w:rPr>
      <w:sz w:val="16"/>
      <w:szCs w:val="16"/>
    </w:rPr>
  </w:style>
  <w:style w:type="character" w:styleId="985" w:customStyle="1">
    <w:name w:val="Основной текст с отступом 3 Знак"/>
    <w:basedOn w:val="933"/>
    <w:link w:val="98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6">
    <w:name w:val="Normal (Web)"/>
    <w:basedOn w:val="928"/>
    <w:pPr>
      <w:numPr>
        <w:ilvl w:val="1"/>
        <w:numId w:val="27"/>
      </w:numPr>
      <w:spacing w:before="100" w:beforeAutospacing="1" w:after="100" w:afterAutospacing="1"/>
    </w:pPr>
    <w:rPr>
      <w:rFonts w:eastAsia="Arial Unicode MS"/>
      <w:color w:val="000000"/>
      <w:sz w:val="16"/>
    </w:rPr>
  </w:style>
  <w:style w:type="character" w:styleId="987" w:customStyle="1">
    <w:name w:val="Заголовок 8 Знак"/>
    <w:basedOn w:val="933"/>
    <w:link w:val="932"/>
    <w:uiPriority w:val="9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ru-RU"/>
    </w:rPr>
  </w:style>
  <w:style w:type="paragraph" w:styleId="988">
    <w:name w:val="footnote text"/>
    <w:basedOn w:val="928"/>
    <w:link w:val="989"/>
    <w:unhideWhenUsed/>
    <w:rPr>
      <w:sz w:val="20"/>
      <w:szCs w:val="20"/>
    </w:rPr>
  </w:style>
  <w:style w:type="character" w:styleId="989" w:customStyle="1">
    <w:name w:val="Текст сноски Знак"/>
    <w:basedOn w:val="933"/>
    <w:link w:val="98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0">
    <w:name w:val="footnote reference"/>
    <w:basedOn w:val="933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CAE5-CDD2-4D98-950A-FEAD18C2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Kugeneva-TA</cp:lastModifiedBy>
  <cp:revision>9</cp:revision>
  <dcterms:created xsi:type="dcterms:W3CDTF">2025-09-02T09:35:00Z</dcterms:created>
  <dcterms:modified xsi:type="dcterms:W3CDTF">2026-07-31T03:51:42Z</dcterms:modified>
</cp:coreProperties>
</file>